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招标项目一览表：</w:t>
      </w:r>
    </w:p>
    <w:tbl>
      <w:tblPr>
        <w:tblStyle w:val="4"/>
        <w:tblW w:w="9497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709"/>
        <w:gridCol w:w="1276"/>
        <w:gridCol w:w="3118"/>
        <w:gridCol w:w="1276"/>
        <w:gridCol w:w="709"/>
        <w:gridCol w:w="850"/>
        <w:gridCol w:w="850"/>
      </w:tblGrid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合同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包号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主要技术参数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单个地址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最低起订量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计量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限价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采购预估额（万元）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封箱胶带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宽度：45mm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长度：100y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厚度：50um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颜色：米黄色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材质：基材采用BOPP薄膜，胶粘剂采用压敏型胶粘剂</w:t>
            </w:r>
          </w:p>
        </w:tc>
        <w:tc>
          <w:tcPr>
            <w:tcW w:w="1276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打包合计</w:t>
            </w:r>
          </w:p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500卷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250.00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封箱胶带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宽度：45mm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长度：200y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厚度：50um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颜色：米黄色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材质：基材采用BOPP薄膜，胶粘剂采用压敏型胶粘剂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100.00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封箱胶带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宽度：45mm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长度：50y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厚度：50um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颜色：透明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材质：基材采用BOPP薄膜，胶粘剂采用压敏型胶粘剂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70.00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封箱胶带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宽度：45mm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长度：100y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厚度：50um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颜色：透明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材质：基材采用BOPP薄膜，胶粘剂采用压敏型胶粘剂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250.00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封箱胶带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宽度：45mm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长度：200y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厚度：50um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颜色：透明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材质：基材采用BOPP薄膜，胶粘剂采用压敏型胶粘剂</w:t>
            </w: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卷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100.00</w:t>
            </w:r>
          </w:p>
        </w:tc>
      </w:tr>
    </w:tbl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备注：投标人须以“合同包”为单位参加本项目的投标，并且以“合同包”为单位提供投标文件，不接受选择性报价。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zFjNGEyNGRhMjMwZWRiM2RkNjcwNzAyY2NkMGQifQ=="/>
  </w:docVars>
  <w:rsids>
    <w:rsidRoot w:val="745656D8"/>
    <w:rsid w:val="7456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2023-03-03T03:11:00Z</dcterms:created>
  <dc:creator>前世今生</dc:creator>
  <cp:lastModifiedBy>前世今生</cp:lastModifiedBy>
  <dcterms:modified xsi:type="dcterms:W3CDTF">2023-03-03T03:11:57Z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8A797CFFAF5045BD9FA0668B4A54ADB4</vt:lpwstr>
  </property>
</Properties>
</file>